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51383">
      <w:pPr>
        <w:jc w:val="center"/>
        <w:rPr>
          <w:rFonts w:ascii="微软雅黑" w:hAnsi="微软雅黑" w:eastAsia="微软雅黑" w:cs="微软雅黑"/>
          <w:b/>
          <w:bCs/>
          <w:sz w:val="32"/>
          <w:szCs w:val="32"/>
          <w:shd w:val="clear" w:color="auto" w:fill="FFFFFF"/>
        </w:rPr>
      </w:pPr>
      <w:r>
        <w:rPr>
          <w:rFonts w:hint="eastAsia" w:ascii="微软雅黑" w:hAnsi="微软雅黑" w:eastAsia="微软雅黑" w:cs="微软雅黑"/>
          <w:b/>
          <w:bCs/>
          <w:sz w:val="32"/>
          <w:szCs w:val="32"/>
          <w:shd w:val="clear" w:color="auto" w:fill="FFFFFF"/>
        </w:rPr>
        <w:t>苏州工业园区旅游引导资金网上申报指引</w:t>
      </w:r>
    </w:p>
    <w:sdt>
      <w:sdtPr>
        <w:rPr>
          <w:rFonts w:asciiTheme="minorHAnsi" w:hAnsiTheme="minorHAnsi" w:eastAsiaTheme="minorEastAsia" w:cstheme="minorBidi"/>
          <w:color w:val="auto"/>
          <w:kern w:val="2"/>
          <w:sz w:val="21"/>
          <w:szCs w:val="24"/>
          <w:lang w:val="zh-CN"/>
        </w:rPr>
        <w:id w:val="279836431"/>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14:paraId="58FA7D67">
          <w:pPr>
            <w:pStyle w:val="16"/>
            <w:jc w:val="center"/>
            <w:rPr>
              <w:rFonts w:ascii="微软雅黑" w:hAnsi="微软雅黑" w:eastAsia="微软雅黑"/>
              <w:color w:val="auto"/>
              <w:sz w:val="28"/>
              <w:szCs w:val="28"/>
            </w:rPr>
          </w:pPr>
          <w:r>
            <w:rPr>
              <w:rFonts w:ascii="微软雅黑" w:hAnsi="微软雅黑" w:eastAsia="微软雅黑"/>
              <w:color w:val="auto"/>
              <w:sz w:val="28"/>
              <w:szCs w:val="28"/>
              <w:lang w:val="zh-CN"/>
            </w:rPr>
            <w:t>目录</w:t>
          </w:r>
        </w:p>
        <w:p w14:paraId="4B3C6D63">
          <w:pPr>
            <w:pStyle w:val="7"/>
            <w:tabs>
              <w:tab w:val="right" w:leader="dot" w:pos="8296"/>
            </w:tabs>
            <w:rPr>
              <w:szCs w:val="22"/>
            </w:rPr>
          </w:pPr>
          <w:r>
            <w:rPr>
              <w:rFonts w:ascii="微软雅黑" w:hAnsi="微软雅黑" w:eastAsia="微软雅黑"/>
              <w:sz w:val="24"/>
            </w:rPr>
            <w:fldChar w:fldCharType="begin"/>
          </w:r>
          <w:r>
            <w:rPr>
              <w:rFonts w:ascii="微软雅黑" w:hAnsi="微软雅黑" w:eastAsia="微软雅黑"/>
              <w:sz w:val="24"/>
            </w:rPr>
            <w:instrText xml:space="preserve"> TOC \o "1-3" \h \z \u </w:instrText>
          </w:r>
          <w:r>
            <w:rPr>
              <w:rFonts w:ascii="微软雅黑" w:hAnsi="微软雅黑" w:eastAsia="微软雅黑"/>
              <w:sz w:val="24"/>
            </w:rPr>
            <w:fldChar w:fldCharType="separate"/>
          </w:r>
          <w:r>
            <w:fldChar w:fldCharType="begin"/>
          </w:r>
          <w:r>
            <w:instrText xml:space="preserve"> HYPERLINK \l "_Toc129090451" </w:instrText>
          </w:r>
          <w:r>
            <w:fldChar w:fldCharType="separate"/>
          </w:r>
          <w:r>
            <w:rPr>
              <w:rStyle w:val="11"/>
              <w:rFonts w:ascii="微软雅黑" w:hAnsi="微软雅黑" w:eastAsia="微软雅黑" w:cs="微软雅黑"/>
              <w:bCs/>
            </w:rPr>
            <w:t>一、</w:t>
          </w:r>
          <w:r>
            <w:rPr>
              <w:rStyle w:val="11"/>
              <w:rFonts w:ascii="微软雅黑" w:hAnsi="微软雅黑" w:eastAsia="微软雅黑" w:cs="微软雅黑"/>
              <w:bCs/>
              <w:shd w:val="clear" w:color="auto" w:fill="FFFFFF"/>
            </w:rPr>
            <w:t xml:space="preserve"> 系统路径</w:t>
          </w:r>
          <w:r>
            <w:tab/>
          </w:r>
          <w:r>
            <w:fldChar w:fldCharType="begin"/>
          </w:r>
          <w:r>
            <w:instrText xml:space="preserve"> PAGEREF _Toc129090451 \h </w:instrText>
          </w:r>
          <w:r>
            <w:fldChar w:fldCharType="separate"/>
          </w:r>
          <w:r>
            <w:t>1</w:t>
          </w:r>
          <w:r>
            <w:fldChar w:fldCharType="end"/>
          </w:r>
          <w:r>
            <w:fldChar w:fldCharType="end"/>
          </w:r>
        </w:p>
        <w:p w14:paraId="683D3EE9">
          <w:pPr>
            <w:pStyle w:val="7"/>
            <w:tabs>
              <w:tab w:val="right" w:leader="dot" w:pos="8296"/>
            </w:tabs>
            <w:rPr>
              <w:szCs w:val="22"/>
            </w:rPr>
          </w:pPr>
          <w:r>
            <w:fldChar w:fldCharType="begin"/>
          </w:r>
          <w:r>
            <w:instrText xml:space="preserve"> HYPERLINK \l "_Toc129090452" </w:instrText>
          </w:r>
          <w:r>
            <w:fldChar w:fldCharType="separate"/>
          </w:r>
          <w:r>
            <w:rPr>
              <w:rStyle w:val="11"/>
              <w:rFonts w:ascii="微软雅黑" w:hAnsi="微软雅黑" w:eastAsia="微软雅黑" w:cs="微软雅黑"/>
              <w:bCs/>
            </w:rPr>
            <w:t>二、</w:t>
          </w:r>
          <w:r>
            <w:rPr>
              <w:rStyle w:val="11"/>
              <w:rFonts w:ascii="微软雅黑" w:hAnsi="微软雅黑" w:eastAsia="微软雅黑" w:cs="微软雅黑"/>
              <w:bCs/>
              <w:shd w:val="clear" w:color="auto" w:fill="FFFFFF"/>
            </w:rPr>
            <w:t xml:space="preserve"> 申报流程</w:t>
          </w:r>
          <w:r>
            <w:tab/>
          </w:r>
          <w:r>
            <w:fldChar w:fldCharType="begin"/>
          </w:r>
          <w:r>
            <w:instrText xml:space="preserve"> PAGEREF _Toc129090452 \h </w:instrText>
          </w:r>
          <w:r>
            <w:fldChar w:fldCharType="separate"/>
          </w:r>
          <w:r>
            <w:t>1</w:t>
          </w:r>
          <w:r>
            <w:fldChar w:fldCharType="end"/>
          </w:r>
          <w:r>
            <w:fldChar w:fldCharType="end"/>
          </w:r>
        </w:p>
        <w:p w14:paraId="10A36995">
          <w:pPr>
            <w:pStyle w:val="8"/>
            <w:tabs>
              <w:tab w:val="right" w:leader="dot" w:pos="8296"/>
            </w:tabs>
            <w:rPr>
              <w:szCs w:val="22"/>
            </w:rPr>
          </w:pPr>
          <w:r>
            <w:fldChar w:fldCharType="begin"/>
          </w:r>
          <w:r>
            <w:instrText xml:space="preserve"> HYPERLINK \l "_Toc129090453" </w:instrText>
          </w:r>
          <w:r>
            <w:fldChar w:fldCharType="separate"/>
          </w:r>
          <w:r>
            <w:rPr>
              <w:rStyle w:val="11"/>
              <w:rFonts w:ascii="微软雅黑" w:hAnsi="微软雅黑" w:eastAsia="微软雅黑" w:cs="宋体"/>
            </w:rPr>
            <w:t>1、申报信息填报</w:t>
          </w:r>
          <w:r>
            <w:tab/>
          </w:r>
          <w:r>
            <w:fldChar w:fldCharType="begin"/>
          </w:r>
          <w:r>
            <w:instrText xml:space="preserve"> PAGEREF _Toc129090453 \h </w:instrText>
          </w:r>
          <w:r>
            <w:fldChar w:fldCharType="separate"/>
          </w:r>
          <w:r>
            <w:t>2</w:t>
          </w:r>
          <w:r>
            <w:fldChar w:fldCharType="end"/>
          </w:r>
          <w:r>
            <w:fldChar w:fldCharType="end"/>
          </w:r>
        </w:p>
        <w:p w14:paraId="6816330C">
          <w:pPr>
            <w:pStyle w:val="7"/>
            <w:tabs>
              <w:tab w:val="right" w:leader="dot" w:pos="8296"/>
            </w:tabs>
            <w:rPr>
              <w:szCs w:val="22"/>
            </w:rPr>
          </w:pPr>
          <w:r>
            <w:fldChar w:fldCharType="begin"/>
          </w:r>
          <w:r>
            <w:instrText xml:space="preserve"> HYPERLINK \l "_Toc129090454" </w:instrText>
          </w:r>
          <w:r>
            <w:fldChar w:fldCharType="separate"/>
          </w:r>
          <w:r>
            <w:rPr>
              <w:rStyle w:val="11"/>
              <w:rFonts w:ascii="微软雅黑" w:hAnsi="微软雅黑" w:eastAsia="微软雅黑" w:cs="微软雅黑"/>
              <w:bCs/>
            </w:rPr>
            <w:t>三、</w:t>
          </w:r>
          <w:r>
            <w:rPr>
              <w:rStyle w:val="11"/>
              <w:rFonts w:ascii="微软雅黑" w:hAnsi="微软雅黑" w:eastAsia="微软雅黑" w:cs="微软雅黑"/>
              <w:bCs/>
              <w:shd w:val="clear" w:color="auto" w:fill="FFFFFF"/>
            </w:rPr>
            <w:t xml:space="preserve"> 收据打印、上传</w:t>
          </w:r>
          <w:r>
            <w:tab/>
          </w:r>
          <w:r>
            <w:fldChar w:fldCharType="begin"/>
          </w:r>
          <w:r>
            <w:instrText xml:space="preserve"> PAGEREF _Toc129090454 \h </w:instrText>
          </w:r>
          <w:r>
            <w:fldChar w:fldCharType="separate"/>
          </w:r>
          <w:r>
            <w:t>4</w:t>
          </w:r>
          <w:r>
            <w:fldChar w:fldCharType="end"/>
          </w:r>
          <w:r>
            <w:fldChar w:fldCharType="end"/>
          </w:r>
        </w:p>
        <w:p w14:paraId="36B13CDC">
          <w:pPr>
            <w:pStyle w:val="8"/>
            <w:tabs>
              <w:tab w:val="right" w:leader="dot" w:pos="8296"/>
            </w:tabs>
            <w:rPr>
              <w:szCs w:val="22"/>
            </w:rPr>
          </w:pPr>
          <w:r>
            <w:fldChar w:fldCharType="begin"/>
          </w:r>
          <w:r>
            <w:instrText xml:space="preserve"> HYPERLINK \l "_Toc129090455" </w:instrText>
          </w:r>
          <w:r>
            <w:fldChar w:fldCharType="separate"/>
          </w:r>
          <w:r>
            <w:rPr>
              <w:rStyle w:val="11"/>
              <w:rFonts w:ascii="微软雅黑" w:hAnsi="微软雅黑" w:eastAsia="微软雅黑" w:cs="宋体"/>
            </w:rPr>
            <w:t>1、打印收据</w:t>
          </w:r>
          <w:r>
            <w:tab/>
          </w:r>
          <w:r>
            <w:fldChar w:fldCharType="begin"/>
          </w:r>
          <w:r>
            <w:instrText xml:space="preserve"> PAGEREF _Toc129090455 \h </w:instrText>
          </w:r>
          <w:r>
            <w:fldChar w:fldCharType="separate"/>
          </w:r>
          <w:r>
            <w:t>4</w:t>
          </w:r>
          <w:r>
            <w:fldChar w:fldCharType="end"/>
          </w:r>
          <w:r>
            <w:fldChar w:fldCharType="end"/>
          </w:r>
        </w:p>
        <w:p w14:paraId="4878942B">
          <w:pPr>
            <w:pStyle w:val="8"/>
            <w:tabs>
              <w:tab w:val="right" w:leader="dot" w:pos="8296"/>
            </w:tabs>
            <w:rPr>
              <w:szCs w:val="22"/>
            </w:rPr>
          </w:pPr>
          <w:r>
            <w:fldChar w:fldCharType="begin"/>
          </w:r>
          <w:r>
            <w:instrText xml:space="preserve"> HYPERLINK \l "_Toc129090456" </w:instrText>
          </w:r>
          <w:r>
            <w:fldChar w:fldCharType="separate"/>
          </w:r>
          <w:r>
            <w:rPr>
              <w:rStyle w:val="11"/>
              <w:rFonts w:ascii="微软雅黑" w:hAnsi="微软雅黑" w:eastAsia="微软雅黑" w:cs="宋体"/>
            </w:rPr>
            <w:t>2、上传收据</w:t>
          </w:r>
          <w:r>
            <w:tab/>
          </w:r>
          <w:r>
            <w:fldChar w:fldCharType="begin"/>
          </w:r>
          <w:r>
            <w:instrText xml:space="preserve"> PAGEREF _Toc129090456 \h </w:instrText>
          </w:r>
          <w:r>
            <w:fldChar w:fldCharType="separate"/>
          </w:r>
          <w:r>
            <w:t>6</w:t>
          </w:r>
          <w:r>
            <w:fldChar w:fldCharType="end"/>
          </w:r>
          <w:r>
            <w:fldChar w:fldCharType="end"/>
          </w:r>
        </w:p>
        <w:p w14:paraId="54D92410">
          <w:pPr>
            <w:pStyle w:val="7"/>
            <w:tabs>
              <w:tab w:val="right" w:leader="dot" w:pos="8296"/>
            </w:tabs>
            <w:rPr>
              <w:szCs w:val="22"/>
            </w:rPr>
          </w:pPr>
          <w:r>
            <w:fldChar w:fldCharType="begin"/>
          </w:r>
          <w:r>
            <w:instrText xml:space="preserve"> HYPERLINK \l "_Toc129090457" </w:instrText>
          </w:r>
          <w:r>
            <w:fldChar w:fldCharType="separate"/>
          </w:r>
          <w:r>
            <w:rPr>
              <w:rStyle w:val="11"/>
              <w:rFonts w:ascii="微软雅黑" w:hAnsi="微软雅黑" w:eastAsia="微软雅黑" w:cs="微软雅黑"/>
              <w:bCs/>
            </w:rPr>
            <w:t>四、</w:t>
          </w:r>
          <w:r>
            <w:rPr>
              <w:rStyle w:val="11"/>
              <w:rFonts w:ascii="微软雅黑" w:hAnsi="微软雅黑" w:eastAsia="微软雅黑" w:cs="微软雅黑"/>
              <w:bCs/>
              <w:shd w:val="clear" w:color="auto" w:fill="FFFFFF"/>
            </w:rPr>
            <w:t xml:space="preserve"> 技术支持</w:t>
          </w:r>
          <w:r>
            <w:tab/>
          </w:r>
          <w:r>
            <w:fldChar w:fldCharType="begin"/>
          </w:r>
          <w:r>
            <w:instrText xml:space="preserve"> PAGEREF _Toc129090457 \h </w:instrText>
          </w:r>
          <w:r>
            <w:fldChar w:fldCharType="separate"/>
          </w:r>
          <w:r>
            <w:t>8</w:t>
          </w:r>
          <w:r>
            <w:fldChar w:fldCharType="end"/>
          </w:r>
          <w:r>
            <w:fldChar w:fldCharType="end"/>
          </w:r>
        </w:p>
        <w:p w14:paraId="1CA9B914">
          <w:r>
            <w:rPr>
              <w:rFonts w:ascii="微软雅黑" w:hAnsi="微软雅黑" w:eastAsia="微软雅黑"/>
              <w:b/>
              <w:bCs/>
              <w:sz w:val="24"/>
              <w:lang w:val="zh-CN"/>
            </w:rPr>
            <w:fldChar w:fldCharType="end"/>
          </w:r>
        </w:p>
      </w:sdtContent>
    </w:sdt>
    <w:p w14:paraId="00CAEECF">
      <w:pPr>
        <w:jc w:val="center"/>
        <w:rPr>
          <w:rFonts w:ascii="微软雅黑" w:hAnsi="微软雅黑" w:eastAsia="微软雅黑" w:cs="微软雅黑"/>
          <w:b/>
          <w:bCs/>
          <w:color w:val="444444"/>
          <w:sz w:val="32"/>
          <w:szCs w:val="32"/>
          <w:shd w:val="clear" w:color="auto" w:fill="FFFFFF"/>
        </w:rPr>
        <w:sectPr>
          <w:pgSz w:w="11906" w:h="16838"/>
          <w:pgMar w:top="1440" w:right="1800" w:bottom="1440" w:left="1800" w:header="851" w:footer="907" w:gutter="0"/>
          <w:cols w:space="425" w:num="1"/>
          <w:docGrid w:type="lines" w:linePitch="312" w:charSpace="0"/>
        </w:sectPr>
      </w:pPr>
    </w:p>
    <w:p w14:paraId="1B07AFAA">
      <w:pPr>
        <w:pStyle w:val="2"/>
        <w:numPr>
          <w:ilvl w:val="0"/>
          <w:numId w:val="1"/>
        </w:numPr>
        <w:spacing w:before="156" w:after="156" w:line="360" w:lineRule="auto"/>
        <w:rPr>
          <w:rFonts w:ascii="微软雅黑" w:hAnsi="微软雅黑" w:eastAsia="微软雅黑" w:cs="微软雅黑"/>
          <w:b w:val="0"/>
          <w:bCs/>
          <w:sz w:val="24"/>
          <w:shd w:val="clear" w:color="auto" w:fill="FFFFFF"/>
        </w:rPr>
      </w:pPr>
      <w:bookmarkStart w:id="0" w:name="_Toc129090451"/>
      <w:r>
        <w:rPr>
          <w:rFonts w:hint="eastAsia" w:ascii="微软雅黑" w:hAnsi="微软雅黑" w:eastAsia="微软雅黑" w:cs="微软雅黑"/>
          <w:bCs/>
          <w:sz w:val="24"/>
          <w:shd w:val="clear" w:color="auto" w:fill="FFFFFF"/>
        </w:rPr>
        <w:t>系统路径</w:t>
      </w:r>
      <w:bookmarkEnd w:id="0"/>
      <w:bookmarkStart w:id="7" w:name="_GoBack"/>
      <w:bookmarkEnd w:id="7"/>
    </w:p>
    <w:p w14:paraId="10EAD01F">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申报地址：苏州工业园区企业服务枢纽平台（http://sme.sipac.gov.cn）</w:t>
      </w:r>
    </w:p>
    <w:p w14:paraId="1B3EF40E">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申报路径：企业用户登录--用户中心--财政专项资金平台--资金申报</w:t>
      </w:r>
    </w:p>
    <w:p w14:paraId="592578CD">
      <w:pPr>
        <w:adjustRightInd w:val="0"/>
        <w:snapToGrid w:val="0"/>
        <w:spacing w:after="156" w:afterLines="50"/>
        <w:jc w:val="center"/>
      </w:pPr>
      <w:r>
        <w:drawing>
          <wp:inline distT="0" distB="0" distL="114300" distR="114300">
            <wp:extent cx="5272405" cy="2179320"/>
            <wp:effectExtent l="0" t="0" r="63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5272405" cy="2179320"/>
                    </a:xfrm>
                    <a:prstGeom prst="rect">
                      <a:avLst/>
                    </a:prstGeom>
                    <a:noFill/>
                    <a:ln>
                      <a:noFill/>
                    </a:ln>
                  </pic:spPr>
                </pic:pic>
              </a:graphicData>
            </a:graphic>
          </wp:inline>
        </w:drawing>
      </w:r>
    </w:p>
    <w:p w14:paraId="0D9847C3">
      <w:pPr>
        <w:adjustRightInd w:val="0"/>
        <w:snapToGrid w:val="0"/>
        <w:spacing w:after="156" w:afterLines="50"/>
        <w:jc w:val="center"/>
      </w:pPr>
      <w:r>
        <w:drawing>
          <wp:inline distT="0" distB="0" distL="114300" distR="114300">
            <wp:extent cx="5266055" cy="2251075"/>
            <wp:effectExtent l="0" t="0" r="6985" b="444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a:stretch>
                      <a:fillRect/>
                    </a:stretch>
                  </pic:blipFill>
                  <pic:spPr>
                    <a:xfrm>
                      <a:off x="0" y="0"/>
                      <a:ext cx="5266055" cy="2251075"/>
                    </a:xfrm>
                    <a:prstGeom prst="rect">
                      <a:avLst/>
                    </a:prstGeom>
                    <a:noFill/>
                    <a:ln>
                      <a:noFill/>
                    </a:ln>
                  </pic:spPr>
                </pic:pic>
              </a:graphicData>
            </a:graphic>
          </wp:inline>
        </w:drawing>
      </w:r>
    </w:p>
    <w:p w14:paraId="2605BDE9">
      <w:pPr>
        <w:adjustRightInd w:val="0"/>
        <w:snapToGrid w:val="0"/>
        <w:spacing w:after="156" w:afterLines="50"/>
        <w:jc w:val="center"/>
      </w:pPr>
      <w:r>
        <w:drawing>
          <wp:inline distT="0" distB="0" distL="0" distR="0">
            <wp:extent cx="5208270" cy="1716405"/>
            <wp:effectExtent l="19050" t="19050" r="1143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rcRect b="19260"/>
                    <a:stretch>
                      <a:fillRect/>
                    </a:stretch>
                  </pic:blipFill>
                  <pic:spPr>
                    <a:xfrm>
                      <a:off x="0" y="0"/>
                      <a:ext cx="5214543" cy="1718862"/>
                    </a:xfrm>
                    <a:prstGeom prst="rect">
                      <a:avLst/>
                    </a:prstGeom>
                    <a:ln>
                      <a:solidFill>
                        <a:srgbClr val="A5A5A5"/>
                      </a:solidFill>
                    </a:ln>
                  </pic:spPr>
                </pic:pic>
              </a:graphicData>
            </a:graphic>
          </wp:inline>
        </w:drawing>
      </w:r>
    </w:p>
    <w:p w14:paraId="455364B8">
      <w:pPr>
        <w:pStyle w:val="2"/>
        <w:numPr>
          <w:ilvl w:val="0"/>
          <w:numId w:val="1"/>
        </w:numPr>
        <w:spacing w:before="156" w:after="156" w:line="360" w:lineRule="auto"/>
        <w:rPr>
          <w:rFonts w:ascii="微软雅黑" w:hAnsi="微软雅黑" w:eastAsia="微软雅黑" w:cs="微软雅黑"/>
          <w:bCs/>
          <w:color w:val="444444"/>
          <w:sz w:val="24"/>
          <w:shd w:val="clear" w:color="auto" w:fill="FFFFFF"/>
        </w:rPr>
      </w:pPr>
      <w:bookmarkStart w:id="1" w:name="_Toc129090452"/>
      <w:r>
        <w:rPr>
          <w:rFonts w:hint="eastAsia" w:ascii="微软雅黑" w:hAnsi="微软雅黑" w:eastAsia="微软雅黑" w:cs="微软雅黑"/>
          <w:bCs/>
          <w:color w:val="444444"/>
          <w:sz w:val="24"/>
          <w:shd w:val="clear" w:color="auto" w:fill="FFFFFF"/>
        </w:rPr>
        <w:t>申报流程</w:t>
      </w:r>
      <w:bookmarkEnd w:id="1"/>
    </w:p>
    <w:p w14:paraId="2B4BAEDA">
      <w:pPr>
        <w:ind w:firstLine="420"/>
        <w:rPr>
          <w:rFonts w:ascii="微软雅黑" w:hAnsi="微软雅黑" w:eastAsia="微软雅黑" w:cs="微软雅黑"/>
          <w:szCs w:val="21"/>
          <w:shd w:val="clear" w:color="auto" w:fill="FFFFFF"/>
        </w:rPr>
      </w:pPr>
      <w:r>
        <w:rPr>
          <w:rFonts w:hint="eastAsia" w:ascii="微软雅黑" w:hAnsi="微软雅黑" w:eastAsia="微软雅黑" w:cs="微软雅黑"/>
          <w:szCs w:val="21"/>
          <w:shd w:val="clear" w:color="auto" w:fill="FFFFFF"/>
        </w:rPr>
        <w:t>点击进入申报专题页面，选择所需要申报的业务事项。</w:t>
      </w:r>
    </w:p>
    <w:p w14:paraId="117FAA07">
      <w:pPr>
        <w:rPr>
          <w:rFonts w:ascii="微软雅黑" w:hAnsi="微软雅黑" w:eastAsia="微软雅黑" w:cs="微软雅黑"/>
          <w:szCs w:val="21"/>
          <w:shd w:val="clear" w:color="auto" w:fill="FFFFFF"/>
        </w:rPr>
      </w:pPr>
      <w:r>
        <w:drawing>
          <wp:inline distT="0" distB="0" distL="0" distR="0">
            <wp:extent cx="5274310" cy="2462530"/>
            <wp:effectExtent l="19050" t="19050" r="2159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b="600"/>
                    <a:stretch>
                      <a:fillRect/>
                    </a:stretch>
                  </pic:blipFill>
                  <pic:spPr>
                    <a:xfrm>
                      <a:off x="0" y="0"/>
                      <a:ext cx="5274310" cy="2462893"/>
                    </a:xfrm>
                    <a:prstGeom prst="rect">
                      <a:avLst/>
                    </a:prstGeom>
                    <a:ln w="9525" cap="flat" cmpd="sng" algn="ctr">
                      <a:solidFill>
                        <a:sysClr val="window" lastClr="FFFFFF">
                          <a:lumMod val="75000"/>
                        </a:sysClr>
                      </a:solidFill>
                      <a:prstDash val="solid"/>
                      <a:round/>
                      <a:headEnd type="none" w="med" len="med"/>
                      <a:tailEnd type="none" w="med" len="med"/>
                    </a:ln>
                  </pic:spPr>
                </pic:pic>
              </a:graphicData>
            </a:graphic>
          </wp:inline>
        </w:drawing>
      </w:r>
    </w:p>
    <w:p w14:paraId="317B9E6D">
      <w:pPr>
        <w:ind w:firstLine="420"/>
        <w:rPr>
          <w:rFonts w:ascii="微软雅黑" w:hAnsi="微软雅黑" w:eastAsia="微软雅黑" w:cs="微软雅黑"/>
          <w:szCs w:val="21"/>
          <w:shd w:val="clear" w:color="auto" w:fill="FFFFFF"/>
        </w:rPr>
      </w:pPr>
      <w:r>
        <w:rPr>
          <w:rFonts w:hint="eastAsia" w:ascii="微软雅黑" w:hAnsi="微软雅黑" w:eastAsia="微软雅黑" w:cs="微软雅黑"/>
          <w:szCs w:val="21"/>
          <w:shd w:val="clear" w:color="auto" w:fill="FFFFFF"/>
        </w:rPr>
        <w:t>点击【申报】</w:t>
      </w:r>
      <w:r>
        <w:rPr>
          <w:rFonts w:hint="eastAsia" w:ascii="微软雅黑" w:hAnsi="微软雅黑" w:eastAsia="微软雅黑" w:cs="微软雅黑"/>
          <w:szCs w:val="21"/>
          <w:shd w:val="clear" w:color="auto" w:fill="FFFFFF"/>
          <w:lang w:val="en-US" w:eastAsia="zh-CN"/>
        </w:rPr>
        <w:t>进入</w:t>
      </w:r>
      <w:r>
        <w:rPr>
          <w:rFonts w:hint="eastAsia" w:ascii="微软雅黑" w:hAnsi="微软雅黑" w:eastAsia="微软雅黑" w:cs="微软雅黑"/>
          <w:szCs w:val="21"/>
          <w:shd w:val="clear" w:color="auto" w:fill="FFFFFF"/>
        </w:rPr>
        <w:t>，开始申报。</w:t>
      </w:r>
    </w:p>
    <w:p w14:paraId="507B26C2">
      <w:pPr>
        <w:jc w:val="center"/>
      </w:pPr>
      <w:r>
        <w:drawing>
          <wp:inline distT="0" distB="0" distL="114300" distR="114300">
            <wp:extent cx="5262245" cy="2236470"/>
            <wp:effectExtent l="0" t="0" r="8255" b="1143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5262245" cy="2236470"/>
                    </a:xfrm>
                    <a:prstGeom prst="rect">
                      <a:avLst/>
                    </a:prstGeom>
                    <a:noFill/>
                    <a:ln>
                      <a:noFill/>
                    </a:ln>
                  </pic:spPr>
                </pic:pic>
              </a:graphicData>
            </a:graphic>
          </wp:inline>
        </w:drawing>
      </w:r>
    </w:p>
    <w:p w14:paraId="2ADDA749">
      <w:pPr>
        <w:pStyle w:val="3"/>
        <w:numPr>
          <w:ilvl w:val="0"/>
          <w:numId w:val="2"/>
        </w:numPr>
        <w:spacing w:before="156" w:after="156" w:line="360" w:lineRule="auto"/>
        <w:rPr>
          <w:rFonts w:hint="eastAsia" w:ascii="微软雅黑" w:hAnsi="微软雅黑" w:eastAsia="微软雅黑" w:cs="宋体"/>
          <w:sz w:val="21"/>
          <w:szCs w:val="21"/>
        </w:rPr>
      </w:pPr>
      <w:bookmarkStart w:id="2" w:name="_Toc129090453"/>
      <w:r>
        <w:rPr>
          <w:rFonts w:hint="eastAsia" w:ascii="微软雅黑" w:hAnsi="微软雅黑" w:eastAsia="微软雅黑" w:cs="宋体"/>
          <w:sz w:val="21"/>
          <w:szCs w:val="21"/>
        </w:rPr>
        <w:t>申报信息填报</w:t>
      </w:r>
      <w:bookmarkEnd w:id="2"/>
    </w:p>
    <w:p w14:paraId="63EFF869">
      <w:pPr>
        <w:numPr>
          <w:numId w:val="0"/>
        </w:numPr>
        <w:ind w:firstLine="420" w:firstLineChars="0"/>
        <w:rPr>
          <w:rFonts w:hint="default" w:eastAsia="微软雅黑"/>
          <w:lang w:val="en-US" w:eastAsia="zh-CN"/>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在此页面对资金申报所需的信息进行维护。</w:t>
      </w:r>
      <w:r>
        <w:rPr>
          <w:rFonts w:hint="eastAsia" w:ascii="微软雅黑" w:hAnsi="微软雅黑" w:eastAsia="微软雅黑" w:cs="微软雅黑"/>
          <w:color w:val="000000" w:themeColor="text1"/>
          <w:szCs w:val="21"/>
          <w:shd w:val="clear" w:color="auto" w:fill="FFFFFF"/>
          <w:lang w:val="en-US" w:eastAsia="zh-CN"/>
          <w14:textFill>
            <w14:solidFill>
              <w14:schemeClr w14:val="tx1"/>
            </w14:solidFill>
          </w14:textFill>
        </w:rPr>
        <w:t>以下截图以“旅游线上推广奖励”为例。</w:t>
      </w:r>
    </w:p>
    <w:p w14:paraId="01619C01">
      <w:pPr>
        <w:jc w:val="left"/>
      </w:pPr>
      <w:r>
        <w:drawing>
          <wp:inline distT="0" distB="0" distL="114300" distR="114300">
            <wp:extent cx="5262245" cy="2332990"/>
            <wp:effectExtent l="9525" t="9525" r="11430" b="1968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1"/>
                    <a:stretch>
                      <a:fillRect/>
                    </a:stretch>
                  </pic:blipFill>
                  <pic:spPr>
                    <a:xfrm>
                      <a:off x="0" y="0"/>
                      <a:ext cx="5262245" cy="2332990"/>
                    </a:xfrm>
                    <a:prstGeom prst="rect">
                      <a:avLst/>
                    </a:prstGeom>
                    <a:ln>
                      <a:solidFill>
                        <a:srgbClr val="A5A5A5"/>
                      </a:solidFill>
                    </a:ln>
                  </pic:spPr>
                </pic:pic>
              </a:graphicData>
            </a:graphic>
          </wp:inline>
        </w:drawing>
      </w:r>
    </w:p>
    <w:p w14:paraId="50407438">
      <w:pPr>
        <w:jc w:val="left"/>
      </w:pPr>
      <w:r>
        <w:drawing>
          <wp:inline distT="0" distB="0" distL="114300" distR="114300">
            <wp:extent cx="5271135" cy="1581150"/>
            <wp:effectExtent l="9525" t="9525" r="15240"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2"/>
                    <a:stretch>
                      <a:fillRect/>
                    </a:stretch>
                  </pic:blipFill>
                  <pic:spPr>
                    <a:xfrm>
                      <a:off x="0" y="0"/>
                      <a:ext cx="5271135" cy="1581150"/>
                    </a:xfrm>
                    <a:prstGeom prst="rect">
                      <a:avLst/>
                    </a:prstGeom>
                    <a:ln>
                      <a:solidFill>
                        <a:srgbClr val="A5A5A5"/>
                      </a:solidFill>
                    </a:ln>
                  </pic:spPr>
                </pic:pic>
              </a:graphicData>
            </a:graphic>
          </wp:inline>
        </w:drawing>
      </w:r>
    </w:p>
    <w:p w14:paraId="6B16CB51">
      <w:pPr>
        <w:jc w:val="left"/>
      </w:pPr>
      <w:r>
        <w:drawing>
          <wp:inline distT="0" distB="0" distL="114300" distR="114300">
            <wp:extent cx="5271770" cy="1734185"/>
            <wp:effectExtent l="9525" t="9525" r="14605" b="2159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3"/>
                    <a:stretch>
                      <a:fillRect/>
                    </a:stretch>
                  </pic:blipFill>
                  <pic:spPr>
                    <a:xfrm>
                      <a:off x="0" y="0"/>
                      <a:ext cx="5271770" cy="1734185"/>
                    </a:xfrm>
                    <a:prstGeom prst="rect">
                      <a:avLst/>
                    </a:prstGeom>
                    <a:ln>
                      <a:solidFill>
                        <a:srgbClr val="A5A5A5"/>
                      </a:solidFill>
                    </a:ln>
                  </pic:spPr>
                </pic:pic>
              </a:graphicData>
            </a:graphic>
          </wp:inline>
        </w:drawing>
      </w:r>
    </w:p>
    <w:p w14:paraId="57094ADB">
      <w:pPr>
        <w:jc w:val="left"/>
        <w:rPr>
          <w:rFonts w:hint="eastAsia"/>
        </w:rPr>
      </w:pPr>
      <w:r>
        <w:drawing>
          <wp:inline distT="0" distB="0" distL="114300" distR="114300">
            <wp:extent cx="5266690" cy="2402205"/>
            <wp:effectExtent l="9525" t="9525" r="19685" b="1397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4"/>
                    <a:stretch>
                      <a:fillRect/>
                    </a:stretch>
                  </pic:blipFill>
                  <pic:spPr>
                    <a:xfrm>
                      <a:off x="0" y="0"/>
                      <a:ext cx="5266690" cy="2402205"/>
                    </a:xfrm>
                    <a:prstGeom prst="rect">
                      <a:avLst/>
                    </a:prstGeom>
                    <a:ln>
                      <a:solidFill>
                        <a:srgbClr val="A5A5A5"/>
                      </a:solidFill>
                    </a:ln>
                  </pic:spPr>
                </pic:pic>
              </a:graphicData>
            </a:graphic>
          </wp:inline>
        </w:drawing>
      </w:r>
    </w:p>
    <w:p w14:paraId="14676494">
      <w:pPr>
        <w:ind w:firstLine="420"/>
        <w:jc w:val="left"/>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当检查页面中的每项信息均提示“已完成”时，即可点击提交，完成资金申报。</w:t>
      </w:r>
    </w:p>
    <w:p w14:paraId="5D8A3910">
      <w:pPr>
        <w:jc w:val="left"/>
      </w:pPr>
      <w:r>
        <w:drawing>
          <wp:inline distT="0" distB="0" distL="114300" distR="114300">
            <wp:extent cx="5261610" cy="1798955"/>
            <wp:effectExtent l="9525" t="9525" r="12065" b="2032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5"/>
                    <a:stretch>
                      <a:fillRect/>
                    </a:stretch>
                  </pic:blipFill>
                  <pic:spPr>
                    <a:xfrm>
                      <a:off x="0" y="0"/>
                      <a:ext cx="5261610" cy="1798955"/>
                    </a:xfrm>
                    <a:prstGeom prst="rect">
                      <a:avLst/>
                    </a:prstGeom>
                    <a:ln>
                      <a:solidFill>
                        <a:srgbClr val="A5A5A5"/>
                      </a:solidFill>
                    </a:ln>
                  </pic:spPr>
                </pic:pic>
              </a:graphicData>
            </a:graphic>
          </wp:inline>
        </w:drawing>
      </w:r>
    </w:p>
    <w:p w14:paraId="1ABBF69A">
      <w:pPr>
        <w:pStyle w:val="2"/>
        <w:numPr>
          <w:ilvl w:val="0"/>
          <w:numId w:val="1"/>
        </w:numPr>
        <w:spacing w:before="156" w:after="156" w:line="360" w:lineRule="auto"/>
        <w:rPr>
          <w:rFonts w:ascii="微软雅黑" w:hAnsi="微软雅黑" w:eastAsia="微软雅黑" w:cs="微软雅黑"/>
          <w:bCs/>
          <w:sz w:val="24"/>
          <w:shd w:val="clear" w:color="auto" w:fill="FFFFFF"/>
        </w:rPr>
      </w:pPr>
      <w:bookmarkStart w:id="3" w:name="_Toc129090454"/>
      <w:r>
        <w:rPr>
          <w:rFonts w:hint="eastAsia" w:ascii="微软雅黑" w:hAnsi="微软雅黑" w:eastAsia="微软雅黑" w:cs="微软雅黑"/>
          <w:bCs/>
          <w:sz w:val="24"/>
          <w:shd w:val="clear" w:color="auto" w:fill="FFFFFF"/>
        </w:rPr>
        <w:t>收据打印、上传</w:t>
      </w:r>
      <w:bookmarkEnd w:id="3"/>
    </w:p>
    <w:p w14:paraId="37F038FA">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路径：财政专项资金平台--资金拨付--待拨付资金</w:t>
      </w:r>
    </w:p>
    <w:p w14:paraId="15C6B028">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企业提交的申请单经由企服中心和相应的局办审核且审核结果为通过时，由企服中心启动拨付。</w:t>
      </w:r>
    </w:p>
    <w:p w14:paraId="0260A023">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企业需要再次登录财政专项资金平台，将收据打印、盖章并上传至系统。</w:t>
      </w:r>
    </w:p>
    <w:p w14:paraId="4FEC1BA2">
      <w:pPr>
        <w:rPr>
          <w:rFonts w:ascii="微软雅黑" w:hAnsi="微软雅黑" w:eastAsia="微软雅黑"/>
          <w:szCs w:val="21"/>
        </w:rPr>
      </w:pPr>
      <w:r>
        <w:drawing>
          <wp:inline distT="0" distB="0" distL="0" distR="0">
            <wp:extent cx="5274310" cy="2826385"/>
            <wp:effectExtent l="19050" t="19050" r="21590" b="1206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6"/>
                    <a:stretch>
                      <a:fillRect/>
                    </a:stretch>
                  </pic:blipFill>
                  <pic:spPr>
                    <a:xfrm>
                      <a:off x="0" y="0"/>
                      <a:ext cx="5274310" cy="2826385"/>
                    </a:xfrm>
                    <a:prstGeom prst="rect">
                      <a:avLst/>
                    </a:prstGeom>
                    <a:ln>
                      <a:solidFill>
                        <a:srgbClr val="A5A5A5"/>
                      </a:solidFill>
                    </a:ln>
                  </pic:spPr>
                </pic:pic>
              </a:graphicData>
            </a:graphic>
          </wp:inline>
        </w:drawing>
      </w:r>
    </w:p>
    <w:p w14:paraId="2FECE32E">
      <w:r>
        <w:drawing>
          <wp:inline distT="0" distB="0" distL="0" distR="0">
            <wp:extent cx="5274310" cy="1739900"/>
            <wp:effectExtent l="19050" t="19050" r="21590" b="127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7"/>
                    <a:stretch>
                      <a:fillRect/>
                    </a:stretch>
                  </pic:blipFill>
                  <pic:spPr>
                    <a:xfrm>
                      <a:off x="0" y="0"/>
                      <a:ext cx="5274310" cy="1739900"/>
                    </a:xfrm>
                    <a:prstGeom prst="rect">
                      <a:avLst/>
                    </a:prstGeom>
                    <a:ln>
                      <a:solidFill>
                        <a:srgbClr val="A5A5A5"/>
                      </a:solidFill>
                    </a:ln>
                  </pic:spPr>
                </pic:pic>
              </a:graphicData>
            </a:graphic>
          </wp:inline>
        </w:drawing>
      </w:r>
    </w:p>
    <w:p w14:paraId="2DD43793">
      <w:pPr>
        <w:pStyle w:val="3"/>
        <w:numPr>
          <w:ilvl w:val="0"/>
          <w:numId w:val="0"/>
        </w:numPr>
        <w:spacing w:before="156" w:after="156" w:line="360" w:lineRule="auto"/>
        <w:rPr>
          <w:rFonts w:ascii="微软雅黑" w:hAnsi="微软雅黑" w:eastAsia="微软雅黑" w:cs="宋体"/>
          <w:sz w:val="21"/>
          <w:szCs w:val="21"/>
        </w:rPr>
      </w:pPr>
      <w:bookmarkStart w:id="4" w:name="_Toc129090455"/>
      <w:r>
        <w:rPr>
          <w:rFonts w:hint="eastAsia" w:ascii="微软雅黑" w:hAnsi="微软雅黑" w:eastAsia="微软雅黑" w:cs="宋体"/>
          <w:sz w:val="21"/>
          <w:szCs w:val="21"/>
        </w:rPr>
        <w:t>1、打印收据</w:t>
      </w:r>
      <w:bookmarkEnd w:id="4"/>
    </w:p>
    <w:p w14:paraId="4164D067">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在待拨付资金列表中找到本次需要打印收据的资金事项，点击“详情”查看。</w:t>
      </w:r>
    </w:p>
    <w:p w14:paraId="539BDCA1">
      <w:pPr>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进入详情页面后，请先确认银行账户信息和联系人信息无误，如需调整，可以点击“调整银行账户”、“调整联系人”对收据信息进行调整。</w:t>
      </w:r>
    </w:p>
    <w:p w14:paraId="1D6BE4D5">
      <w:r>
        <w:drawing>
          <wp:inline distT="0" distB="0" distL="114300" distR="114300">
            <wp:extent cx="5209540" cy="1990090"/>
            <wp:effectExtent l="19050" t="19050" r="10160" b="1016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8"/>
                    <a:srcRect r="1082"/>
                    <a:stretch>
                      <a:fillRect/>
                    </a:stretch>
                  </pic:blipFill>
                  <pic:spPr>
                    <a:xfrm>
                      <a:off x="0" y="0"/>
                      <a:ext cx="5209674" cy="1990090"/>
                    </a:xfrm>
                    <a:prstGeom prst="rect">
                      <a:avLst/>
                    </a:prstGeom>
                    <a:noFill/>
                    <a:ln>
                      <a:solidFill>
                        <a:srgbClr val="A5A5A5"/>
                      </a:solidFill>
                    </a:ln>
                  </pic:spPr>
                </pic:pic>
              </a:graphicData>
            </a:graphic>
          </wp:inline>
        </w:drawing>
      </w:r>
    </w:p>
    <w:p w14:paraId="4F3678C6">
      <w:r>
        <w:drawing>
          <wp:inline distT="0" distB="0" distL="114300" distR="114300">
            <wp:extent cx="5209540" cy="2464435"/>
            <wp:effectExtent l="19050" t="19050" r="10160" b="1206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9"/>
                    <a:srcRect r="1082" b="13698"/>
                    <a:stretch>
                      <a:fillRect/>
                    </a:stretch>
                  </pic:blipFill>
                  <pic:spPr>
                    <a:xfrm>
                      <a:off x="0" y="0"/>
                      <a:ext cx="5209674" cy="2464435"/>
                    </a:xfrm>
                    <a:prstGeom prst="rect">
                      <a:avLst/>
                    </a:prstGeom>
                    <a:noFill/>
                    <a:ln>
                      <a:solidFill>
                        <a:srgbClr val="A5A5A5"/>
                      </a:solidFill>
                    </a:ln>
                  </pic:spPr>
                </pic:pic>
              </a:graphicData>
            </a:graphic>
          </wp:inline>
        </w:drawing>
      </w:r>
    </w:p>
    <w:p w14:paraId="77C42303">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点击“打印收据‘’，在收据页面中点击“下载PDF打印”。</w:t>
      </w:r>
    </w:p>
    <w:p w14:paraId="5F0651E5">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收据打印完成后请在“收款单位（盖章）”处加盖财务章或者企业公章。</w:t>
      </w:r>
    </w:p>
    <w:p w14:paraId="1080A6A5">
      <w:r>
        <w:drawing>
          <wp:inline distT="0" distB="0" distL="0" distR="0">
            <wp:extent cx="5274310" cy="3710940"/>
            <wp:effectExtent l="0" t="0" r="8890" b="1016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5274310" cy="3710940"/>
                    </a:xfrm>
                    <a:prstGeom prst="rect">
                      <a:avLst/>
                    </a:prstGeom>
                  </pic:spPr>
                </pic:pic>
              </a:graphicData>
            </a:graphic>
          </wp:inline>
        </w:drawing>
      </w:r>
    </w:p>
    <w:p w14:paraId="3285C35C">
      <w:pPr>
        <w:pStyle w:val="3"/>
        <w:numPr>
          <w:ilvl w:val="0"/>
          <w:numId w:val="0"/>
        </w:numPr>
        <w:spacing w:before="156" w:after="156" w:line="360" w:lineRule="auto"/>
        <w:rPr>
          <w:rFonts w:ascii="微软雅黑" w:hAnsi="微软雅黑" w:eastAsia="微软雅黑" w:cs="宋体"/>
          <w:sz w:val="21"/>
          <w:szCs w:val="21"/>
        </w:rPr>
      </w:pPr>
      <w:bookmarkStart w:id="5" w:name="_Toc129090456"/>
      <w:r>
        <w:rPr>
          <w:rFonts w:hint="eastAsia" w:ascii="微软雅黑" w:hAnsi="微软雅黑" w:eastAsia="微软雅黑" w:cs="宋体"/>
          <w:sz w:val="21"/>
          <w:szCs w:val="21"/>
        </w:rPr>
        <w:t>2、上传收据</w:t>
      </w:r>
      <w:bookmarkEnd w:id="5"/>
    </w:p>
    <w:p w14:paraId="50A47BD5">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打印收据并加盖财务章或公章后，请再次登录系统，并在待拨付资金列表中找到本次需要上传收据的资金事项，点击“详情”查看。</w:t>
      </w:r>
    </w:p>
    <w:p w14:paraId="512F8B4C">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进入详情页面后，点击“上传收据”，并根据提示按步骤上传收据并提交。</w:t>
      </w:r>
    </w:p>
    <w:p w14:paraId="27FFB22F">
      <w:pPr>
        <w:spacing w:before="156" w:beforeLines="50" w:after="156" w:afterLines="50"/>
        <w:jc w:val="center"/>
      </w:pPr>
      <w:r>
        <w:drawing>
          <wp:inline distT="0" distB="0" distL="0" distR="0">
            <wp:extent cx="5177155" cy="2287905"/>
            <wp:effectExtent l="19050" t="19050" r="23495" b="171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a:srcRect r="1837"/>
                    <a:stretch>
                      <a:fillRect/>
                    </a:stretch>
                  </pic:blipFill>
                  <pic:spPr>
                    <a:xfrm>
                      <a:off x="0" y="0"/>
                      <a:ext cx="5177422" cy="2287905"/>
                    </a:xfrm>
                    <a:prstGeom prst="rect">
                      <a:avLst/>
                    </a:prstGeom>
                    <a:ln w="9525" cap="flat" cmpd="sng" algn="ctr">
                      <a:solidFill>
                        <a:schemeClr val="accent3"/>
                      </a:solidFill>
                      <a:prstDash val="solid"/>
                      <a:round/>
                      <a:headEnd type="none" w="med" len="med"/>
                      <a:tailEnd type="none" w="med" len="med"/>
                    </a:ln>
                  </pic:spPr>
                </pic:pic>
              </a:graphicData>
            </a:graphic>
          </wp:inline>
        </w:drawing>
      </w:r>
    </w:p>
    <w:p w14:paraId="17638B2B">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使用手机扫描二维码：</w:t>
      </w:r>
    </w:p>
    <w:p w14:paraId="60DEBF25">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注：为方便企业及时获取企服发布的各项通知，在使用微信扫码上传收据凭证时，系统会自动检测用户是否已关注苏州工业园区企业发展服务中心微信公众号，如果未关注，系统会引导用户先关注企服微信公众号再进行后续操作。</w:t>
      </w:r>
    </w:p>
    <w:p w14:paraId="5C57D611">
      <w:pPr>
        <w:spacing w:before="120" w:after="120"/>
        <w:ind w:firstLine="240"/>
        <w:jc w:val="center"/>
        <w:rPr>
          <w:rFonts w:asciiTheme="minorEastAsia" w:hAnsiTheme="minorEastAsia" w:cstheme="minorEastAsia"/>
        </w:rPr>
      </w:pPr>
      <w:r>
        <w:rPr>
          <w:rFonts w:ascii="微软雅黑" w:hAnsi="微软雅黑" w:eastAsia="微软雅黑" w:cstheme="minorEastAsia"/>
        </w:rPr>
        <w:drawing>
          <wp:inline distT="0" distB="0" distL="0" distR="0">
            <wp:extent cx="2002790" cy="4339590"/>
            <wp:effectExtent l="12700" t="25400" r="10160" b="10160"/>
            <wp:docPr id="25" name="图片 25" descr="图片包含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包含 文字&#10;&#10;描述已自动生成"/>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rot="16200000">
                      <a:off x="0" y="0"/>
                      <a:ext cx="2004699" cy="4342992"/>
                    </a:xfrm>
                    <a:prstGeom prst="rect">
                      <a:avLst/>
                    </a:prstGeom>
                    <a:ln>
                      <a:solidFill>
                        <a:schemeClr val="accent3"/>
                      </a:solidFill>
                    </a:ln>
                  </pic:spPr>
                </pic:pic>
              </a:graphicData>
            </a:graphic>
          </wp:inline>
        </w:drawing>
      </w:r>
    </w:p>
    <w:p w14:paraId="30BC2C09">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手机端收据拍照页面：</w:t>
      </w:r>
    </w:p>
    <w:p w14:paraId="3DF2114A">
      <w:pPr>
        <w:spacing w:before="156" w:after="156"/>
        <w:jc w:val="center"/>
        <w:rPr>
          <w:rFonts w:ascii="微软雅黑" w:hAnsi="微软雅黑" w:eastAsia="微软雅黑" w:cstheme="minorEastAsia"/>
        </w:rPr>
      </w:pPr>
      <w:r>
        <w:rPr>
          <w:rFonts w:ascii="微软雅黑" w:hAnsi="微软雅黑" w:eastAsia="微软雅黑" w:cstheme="minorEastAsia"/>
        </w:rPr>
        <w:drawing>
          <wp:inline distT="0" distB="0" distL="114300" distR="114300">
            <wp:extent cx="2184400" cy="3518535"/>
            <wp:effectExtent l="19050" t="19050" r="25400" b="24765"/>
            <wp:docPr id="17" name="图片 17" descr="1581909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581909260(1)"/>
                    <pic:cNvPicPr>
                      <a:picLocks noChangeAspect="1"/>
                    </pic:cNvPicPr>
                  </pic:nvPicPr>
                  <pic:blipFill>
                    <a:blip r:embed="rId23"/>
                    <a:stretch>
                      <a:fillRect/>
                    </a:stretch>
                  </pic:blipFill>
                  <pic:spPr>
                    <a:xfrm>
                      <a:off x="0" y="0"/>
                      <a:ext cx="2184400" cy="3518535"/>
                    </a:xfrm>
                    <a:prstGeom prst="rect">
                      <a:avLst/>
                    </a:prstGeom>
                    <a:noFill/>
                    <a:ln w="12700" cmpd="sng">
                      <a:solidFill>
                        <a:schemeClr val="accent3"/>
                      </a:solidFill>
                      <a:prstDash val="solid"/>
                    </a:ln>
                  </pic:spPr>
                </pic:pic>
              </a:graphicData>
            </a:graphic>
          </wp:inline>
        </w:drawing>
      </w:r>
      <w:r>
        <w:rPr>
          <w:rFonts w:ascii="Times New Roman" w:hAnsi="Times New Roman" w:eastAsia="Times New Roman" w:cs="Times New Roman"/>
          <w:snapToGrid w:val="0"/>
          <w:color w:val="000000"/>
          <w:w w:val="0"/>
          <w:kern w:val="0"/>
          <w:sz w:val="0"/>
          <w:szCs w:val="0"/>
          <w:u w:color="000000"/>
          <w:shd w:val="clear" w:color="000000" w:fill="000000"/>
          <w:lang w:val="zh-CN" w:bidi="zh-CN"/>
        </w:rPr>
        <w:t xml:space="preserve">  </w:t>
      </w:r>
      <w:r>
        <w:rPr>
          <w:rFonts w:ascii="微软雅黑" w:hAnsi="微软雅黑" w:eastAsia="微软雅黑" w:cstheme="minorEastAsia"/>
        </w:rPr>
        <w:drawing>
          <wp:inline distT="0" distB="0" distL="0" distR="0">
            <wp:extent cx="1623060" cy="3516630"/>
            <wp:effectExtent l="19050" t="19050" r="15240" b="266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623286" cy="3517200"/>
                    </a:xfrm>
                    <a:prstGeom prst="rect">
                      <a:avLst/>
                    </a:prstGeom>
                    <a:noFill/>
                    <a:ln>
                      <a:solidFill>
                        <a:schemeClr val="accent3"/>
                      </a:solidFill>
                    </a:ln>
                  </pic:spPr>
                </pic:pic>
              </a:graphicData>
            </a:graphic>
          </wp:inline>
        </w:drawing>
      </w:r>
    </w:p>
    <w:p w14:paraId="0A8E0A52">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请确保将拍照框与收据虚线裁剪框对齐。</w:t>
      </w:r>
    </w:p>
    <w:p w14:paraId="062E9561">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收据拍照完成后，请再次核对收据信息是否正确，是否有加盖财务章或公章。</w:t>
      </w:r>
    </w:p>
    <w:p w14:paraId="44255672">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信息核对无误后，确认提交即可。</w:t>
      </w:r>
    </w:p>
    <w:p w14:paraId="677233B2">
      <w:pPr>
        <w:spacing w:before="120" w:after="120"/>
        <w:jc w:val="center"/>
      </w:pPr>
      <w:r>
        <w:drawing>
          <wp:inline distT="0" distB="0" distL="114300" distR="114300">
            <wp:extent cx="2212975" cy="3743960"/>
            <wp:effectExtent l="19050" t="19050" r="15875" b="2794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25"/>
                    <a:stretch>
                      <a:fillRect/>
                    </a:stretch>
                  </pic:blipFill>
                  <pic:spPr>
                    <a:xfrm>
                      <a:off x="0" y="0"/>
                      <a:ext cx="2219072" cy="3753707"/>
                    </a:xfrm>
                    <a:prstGeom prst="rect">
                      <a:avLst/>
                    </a:prstGeom>
                    <a:noFill/>
                    <a:ln w="12700" cmpd="sng">
                      <a:solidFill>
                        <a:schemeClr val="accent3"/>
                      </a:solidFill>
                      <a:prstDash val="solid"/>
                    </a:ln>
                  </pic:spPr>
                </pic:pic>
              </a:graphicData>
            </a:graphic>
          </wp:inline>
        </w:drawing>
      </w:r>
      <w:r>
        <w:drawing>
          <wp:inline distT="0" distB="0" distL="114300" distR="114300">
            <wp:extent cx="2196465" cy="3742690"/>
            <wp:effectExtent l="19050" t="19050" r="13335" b="10160"/>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pic:cNvPicPr>
                  </pic:nvPicPr>
                  <pic:blipFill>
                    <a:blip r:embed="rId26"/>
                    <a:srcRect l="901" r="901"/>
                    <a:stretch>
                      <a:fillRect/>
                    </a:stretch>
                  </pic:blipFill>
                  <pic:spPr>
                    <a:xfrm>
                      <a:off x="0" y="0"/>
                      <a:ext cx="2218817" cy="3781151"/>
                    </a:xfrm>
                    <a:prstGeom prst="rect">
                      <a:avLst/>
                    </a:prstGeom>
                    <a:noFill/>
                    <a:ln w="12700" cmpd="sng">
                      <a:solidFill>
                        <a:schemeClr val="accent3"/>
                      </a:solidFill>
                      <a:prstDash val="solid"/>
                    </a:ln>
                  </pic:spPr>
                </pic:pic>
              </a:graphicData>
            </a:graphic>
          </wp:inline>
        </w:drawing>
      </w:r>
    </w:p>
    <w:p w14:paraId="23361D2A">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如需查看或下载已上传收据，请在电脑端登录查看。</w:t>
      </w:r>
    </w:p>
    <w:p w14:paraId="156B4003">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drawing>
          <wp:inline distT="0" distB="0" distL="0" distR="0">
            <wp:extent cx="5203825" cy="2326640"/>
            <wp:effectExtent l="19050" t="19050" r="15875" b="165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7"/>
                    <a:srcRect r="1330"/>
                    <a:stretch>
                      <a:fillRect/>
                    </a:stretch>
                  </pic:blipFill>
                  <pic:spPr>
                    <a:xfrm>
                      <a:off x="0" y="0"/>
                      <a:ext cx="5204159" cy="2326640"/>
                    </a:xfrm>
                    <a:prstGeom prst="rect">
                      <a:avLst/>
                    </a:prstGeom>
                    <a:ln w="9525" cap="flat" cmpd="sng" algn="ctr">
                      <a:solidFill>
                        <a:schemeClr val="accent3"/>
                      </a:solidFill>
                      <a:prstDash val="solid"/>
                      <a:round/>
                      <a:headEnd type="none" w="med" len="med"/>
                      <a:tailEnd type="none" w="med" len="med"/>
                    </a:ln>
                  </pic:spPr>
                </pic:pic>
              </a:graphicData>
            </a:graphic>
          </wp:inline>
        </w:drawing>
      </w:r>
    </w:p>
    <w:p w14:paraId="5D1422D3">
      <w:pPr>
        <w:pStyle w:val="2"/>
        <w:numPr>
          <w:ilvl w:val="0"/>
          <w:numId w:val="1"/>
        </w:numPr>
        <w:spacing w:before="156" w:after="156" w:line="360" w:lineRule="auto"/>
        <w:rPr>
          <w:rFonts w:ascii="微软雅黑" w:hAnsi="微软雅黑" w:eastAsia="微软雅黑" w:cs="微软雅黑"/>
          <w:bCs/>
          <w:color w:val="444444"/>
          <w:sz w:val="24"/>
          <w:shd w:val="clear" w:color="auto" w:fill="FFFFFF"/>
        </w:rPr>
      </w:pPr>
      <w:bookmarkStart w:id="6" w:name="_Toc129090457"/>
      <w:r>
        <w:rPr>
          <w:rFonts w:hint="eastAsia" w:ascii="微软雅黑" w:hAnsi="微软雅黑" w:eastAsia="微软雅黑" w:cs="微软雅黑"/>
          <w:bCs/>
          <w:color w:val="444444"/>
          <w:sz w:val="24"/>
          <w:shd w:val="clear" w:color="auto" w:fill="FFFFFF"/>
        </w:rPr>
        <w:t>技术支持</w:t>
      </w:r>
      <w:bookmarkEnd w:id="6"/>
    </w:p>
    <w:p w14:paraId="3E257801">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开发单位：苏州德融嘉信信用管理技术股份有限公司</w:t>
      </w:r>
    </w:p>
    <w:p w14:paraId="3E799727">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热线电话：400-8696-086</w:t>
      </w:r>
    </w:p>
    <w:p w14:paraId="59A8965F">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邮箱：techsoft@sipac.gov.cn</w:t>
      </w:r>
    </w:p>
    <w:p w14:paraId="339DA73C">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hint="eastAsia" w:ascii="微软雅黑" w:hAnsi="微软雅黑" w:eastAsia="微软雅黑" w:cs="微软雅黑"/>
          <w:color w:val="000000" w:themeColor="text1"/>
          <w:szCs w:val="21"/>
          <w:shd w:val="clear" w:color="auto" w:fill="FFFFFF"/>
          <w14:textFill>
            <w14:solidFill>
              <w14:schemeClr w14:val="tx1"/>
            </w14:solidFill>
          </w14:textFill>
        </w:rPr>
        <w:t>微信号：s18913131676，或者扫描下方二维码</w:t>
      </w:r>
    </w:p>
    <w:p w14:paraId="15503A9E">
      <w:pPr>
        <w:spacing w:line="360" w:lineRule="auto"/>
        <w:ind w:firstLine="420"/>
        <w:rPr>
          <w:rFonts w:ascii="微软雅黑" w:hAnsi="微软雅黑" w:eastAsia="微软雅黑" w:cs="微软雅黑"/>
          <w:color w:val="000000" w:themeColor="text1"/>
          <w:szCs w:val="21"/>
          <w:shd w:val="clear" w:color="auto" w:fill="FFFFFF"/>
          <w14:textFill>
            <w14:solidFill>
              <w14:schemeClr w14:val="tx1"/>
            </w14:solidFill>
          </w14:textFill>
        </w:rPr>
      </w:pPr>
      <w:r>
        <w:rPr>
          <w:rFonts w:ascii="宋体" w:hAnsi="宋体" w:cs="宋体"/>
        </w:rPr>
        <w:drawing>
          <wp:inline distT="0" distB="0" distL="0" distR="0">
            <wp:extent cx="1094740" cy="1022985"/>
            <wp:effectExtent l="19050" t="19050" r="10160" b="247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094740" cy="1022985"/>
                    </a:xfrm>
                    <a:prstGeom prst="rect">
                      <a:avLst/>
                    </a:prstGeom>
                    <a:noFill/>
                    <a:ln>
                      <a:solidFill>
                        <a:srgbClr val="A5A5A5"/>
                      </a:solidFill>
                    </a:ln>
                  </pic:spPr>
                </pic:pic>
              </a:graphicData>
            </a:graphic>
          </wp:inline>
        </w:drawing>
      </w:r>
    </w:p>
    <w:sectPr>
      <w:headerReference r:id="rId3" w:type="default"/>
      <w:footerReference r:id="rId4" w:type="default"/>
      <w:pgSz w:w="11906" w:h="16838"/>
      <w:pgMar w:top="1440" w:right="1800" w:bottom="1440" w:left="1800" w:header="851" w:footer="90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1325205"/>
      <w:docPartObj>
        <w:docPartGallery w:val="autotext"/>
      </w:docPartObj>
    </w:sdtPr>
    <w:sdtContent>
      <w:p w14:paraId="6FF561F2">
        <w:pPr>
          <w:jc w:val="center"/>
        </w:pPr>
        <w:r>
          <w:fldChar w:fldCharType="begin"/>
        </w:r>
        <w:r>
          <w:instrText xml:space="preserve">PAGE   \* MERGEFORMAT</w:instrText>
        </w:r>
        <w:r>
          <w:fldChar w:fldCharType="separate"/>
        </w:r>
        <w:r>
          <w:rPr>
            <w:lang w:val="zh-CN"/>
          </w:rPr>
          <w:t>2</w:t>
        </w:r>
        <w:r>
          <w:fldChar w:fldCharType="end"/>
        </w:r>
      </w:p>
    </w:sdtContent>
  </w:sdt>
  <w:p w14:paraId="33BB84B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BA2C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C24C7"/>
    <w:multiLevelType w:val="singleLevel"/>
    <w:tmpl w:val="1DAC24C7"/>
    <w:lvl w:ilvl="0" w:tentative="0">
      <w:start w:val="1"/>
      <w:numFmt w:val="decimal"/>
      <w:suff w:val="nothing"/>
      <w:lvlText w:val="%1、"/>
      <w:lvlJc w:val="left"/>
    </w:lvl>
  </w:abstractNum>
  <w:abstractNum w:abstractNumId="1">
    <w:nsid w:val="45B876BB"/>
    <w:multiLevelType w:val="singleLevel"/>
    <w:tmpl w:val="45B876B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F6F4779"/>
    <w:rsid w:val="00007FB2"/>
    <w:rsid w:val="0001368C"/>
    <w:rsid w:val="000552D4"/>
    <w:rsid w:val="0006254E"/>
    <w:rsid w:val="00096E81"/>
    <w:rsid w:val="00143BFD"/>
    <w:rsid w:val="00145AF1"/>
    <w:rsid w:val="0015348E"/>
    <w:rsid w:val="001568FB"/>
    <w:rsid w:val="0017074D"/>
    <w:rsid w:val="001773D2"/>
    <w:rsid w:val="00193696"/>
    <w:rsid w:val="001960F3"/>
    <w:rsid w:val="001A1A17"/>
    <w:rsid w:val="001D621E"/>
    <w:rsid w:val="001E0EB5"/>
    <w:rsid w:val="001F0A3F"/>
    <w:rsid w:val="00242CB1"/>
    <w:rsid w:val="00273188"/>
    <w:rsid w:val="00280C10"/>
    <w:rsid w:val="002972BD"/>
    <w:rsid w:val="002A3464"/>
    <w:rsid w:val="002B02B3"/>
    <w:rsid w:val="002B08B8"/>
    <w:rsid w:val="002C035F"/>
    <w:rsid w:val="002F5A78"/>
    <w:rsid w:val="003103BD"/>
    <w:rsid w:val="00326B2A"/>
    <w:rsid w:val="00330E0A"/>
    <w:rsid w:val="0036509B"/>
    <w:rsid w:val="00373BD8"/>
    <w:rsid w:val="003A5457"/>
    <w:rsid w:val="003C7B14"/>
    <w:rsid w:val="003D2640"/>
    <w:rsid w:val="00423D78"/>
    <w:rsid w:val="00430F18"/>
    <w:rsid w:val="00452996"/>
    <w:rsid w:val="00476C2C"/>
    <w:rsid w:val="00484085"/>
    <w:rsid w:val="00494808"/>
    <w:rsid w:val="004A1D24"/>
    <w:rsid w:val="004B6E16"/>
    <w:rsid w:val="004C07DB"/>
    <w:rsid w:val="004C2135"/>
    <w:rsid w:val="004C28B7"/>
    <w:rsid w:val="004C3E86"/>
    <w:rsid w:val="004D4253"/>
    <w:rsid w:val="004E026B"/>
    <w:rsid w:val="004E1F65"/>
    <w:rsid w:val="004E2DD1"/>
    <w:rsid w:val="004E481A"/>
    <w:rsid w:val="004E763B"/>
    <w:rsid w:val="004F1F72"/>
    <w:rsid w:val="00507550"/>
    <w:rsid w:val="00526080"/>
    <w:rsid w:val="0055531F"/>
    <w:rsid w:val="00555A13"/>
    <w:rsid w:val="00555DC5"/>
    <w:rsid w:val="00561FF4"/>
    <w:rsid w:val="005644FD"/>
    <w:rsid w:val="005804BA"/>
    <w:rsid w:val="005A62D6"/>
    <w:rsid w:val="005E5528"/>
    <w:rsid w:val="00614B01"/>
    <w:rsid w:val="00620B58"/>
    <w:rsid w:val="0063382F"/>
    <w:rsid w:val="00666784"/>
    <w:rsid w:val="006763B6"/>
    <w:rsid w:val="006B33CB"/>
    <w:rsid w:val="006C0CC8"/>
    <w:rsid w:val="006F57A8"/>
    <w:rsid w:val="007050AA"/>
    <w:rsid w:val="00730664"/>
    <w:rsid w:val="00734EAB"/>
    <w:rsid w:val="00760F14"/>
    <w:rsid w:val="00771C52"/>
    <w:rsid w:val="007940A7"/>
    <w:rsid w:val="007B02D6"/>
    <w:rsid w:val="00802FC4"/>
    <w:rsid w:val="00817C23"/>
    <w:rsid w:val="0082224B"/>
    <w:rsid w:val="00834566"/>
    <w:rsid w:val="00853413"/>
    <w:rsid w:val="0088550F"/>
    <w:rsid w:val="008F4510"/>
    <w:rsid w:val="009412DC"/>
    <w:rsid w:val="00956354"/>
    <w:rsid w:val="009626E9"/>
    <w:rsid w:val="0098499C"/>
    <w:rsid w:val="009B65CD"/>
    <w:rsid w:val="009C214B"/>
    <w:rsid w:val="009D1389"/>
    <w:rsid w:val="009D6A1F"/>
    <w:rsid w:val="00A01155"/>
    <w:rsid w:val="00A264B8"/>
    <w:rsid w:val="00A6010B"/>
    <w:rsid w:val="00A63B9E"/>
    <w:rsid w:val="00A872ED"/>
    <w:rsid w:val="00A91B51"/>
    <w:rsid w:val="00A93E74"/>
    <w:rsid w:val="00AB12BF"/>
    <w:rsid w:val="00AB30FF"/>
    <w:rsid w:val="00AB572E"/>
    <w:rsid w:val="00AD74AB"/>
    <w:rsid w:val="00AE5A1E"/>
    <w:rsid w:val="00AE6B21"/>
    <w:rsid w:val="00B12AB4"/>
    <w:rsid w:val="00B21506"/>
    <w:rsid w:val="00B367B0"/>
    <w:rsid w:val="00B42C3A"/>
    <w:rsid w:val="00B5372C"/>
    <w:rsid w:val="00B63E8D"/>
    <w:rsid w:val="00B70906"/>
    <w:rsid w:val="00BE3CD4"/>
    <w:rsid w:val="00BE41CD"/>
    <w:rsid w:val="00BF2AE8"/>
    <w:rsid w:val="00C010F9"/>
    <w:rsid w:val="00C350A6"/>
    <w:rsid w:val="00C52509"/>
    <w:rsid w:val="00C53BCD"/>
    <w:rsid w:val="00C5443A"/>
    <w:rsid w:val="00C6166C"/>
    <w:rsid w:val="00C71CAA"/>
    <w:rsid w:val="00C774BC"/>
    <w:rsid w:val="00C861B4"/>
    <w:rsid w:val="00C94631"/>
    <w:rsid w:val="00CB2667"/>
    <w:rsid w:val="00CB2B33"/>
    <w:rsid w:val="00CC5BCD"/>
    <w:rsid w:val="00CE3A3C"/>
    <w:rsid w:val="00CE6A44"/>
    <w:rsid w:val="00CF3753"/>
    <w:rsid w:val="00CF67A1"/>
    <w:rsid w:val="00D01293"/>
    <w:rsid w:val="00D1311B"/>
    <w:rsid w:val="00D167CE"/>
    <w:rsid w:val="00D25C6E"/>
    <w:rsid w:val="00D31689"/>
    <w:rsid w:val="00D46E98"/>
    <w:rsid w:val="00D56FF8"/>
    <w:rsid w:val="00D81C97"/>
    <w:rsid w:val="00E010D2"/>
    <w:rsid w:val="00E10A61"/>
    <w:rsid w:val="00E318DE"/>
    <w:rsid w:val="00E31E69"/>
    <w:rsid w:val="00E4658B"/>
    <w:rsid w:val="00E522DF"/>
    <w:rsid w:val="00E5309D"/>
    <w:rsid w:val="00E64D66"/>
    <w:rsid w:val="00E65978"/>
    <w:rsid w:val="00E71121"/>
    <w:rsid w:val="00E831C6"/>
    <w:rsid w:val="00EA7394"/>
    <w:rsid w:val="00F03D1B"/>
    <w:rsid w:val="00F0664F"/>
    <w:rsid w:val="00F30FAD"/>
    <w:rsid w:val="00F34054"/>
    <w:rsid w:val="00F5191B"/>
    <w:rsid w:val="00F53D85"/>
    <w:rsid w:val="00F67EDA"/>
    <w:rsid w:val="00F90113"/>
    <w:rsid w:val="00FA41CB"/>
    <w:rsid w:val="01731C66"/>
    <w:rsid w:val="01E21263"/>
    <w:rsid w:val="02A4476B"/>
    <w:rsid w:val="034835A4"/>
    <w:rsid w:val="06692569"/>
    <w:rsid w:val="086D65CC"/>
    <w:rsid w:val="0DC11491"/>
    <w:rsid w:val="0F6F4779"/>
    <w:rsid w:val="13070B2A"/>
    <w:rsid w:val="1C420038"/>
    <w:rsid w:val="1CCB202B"/>
    <w:rsid w:val="286F7898"/>
    <w:rsid w:val="33120CC0"/>
    <w:rsid w:val="37457D70"/>
    <w:rsid w:val="475573AE"/>
    <w:rsid w:val="4B702A09"/>
    <w:rsid w:val="4D1B28FA"/>
    <w:rsid w:val="56082D38"/>
    <w:rsid w:val="63A4729C"/>
    <w:rsid w:val="6AF723A7"/>
    <w:rsid w:val="714F0E73"/>
    <w:rsid w:val="75C86E1A"/>
    <w:rsid w:val="77552B69"/>
    <w:rsid w:val="7C510C30"/>
    <w:rsid w:val="7F2C3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qFormat/>
    <w:uiPriority w:val="0"/>
    <w:pPr>
      <w:keepNext/>
      <w:keepLines/>
      <w:numPr>
        <w:ilvl w:val="1"/>
        <w:numId w:val="1"/>
      </w:numPr>
      <w:tabs>
        <w:tab w:val="left" w:pos="425"/>
      </w:tabs>
      <w:spacing w:before="340" w:beforeLines="50" w:after="330" w:afterLines="50" w:line="576" w:lineRule="auto"/>
      <w:outlineLvl w:val="0"/>
    </w:pPr>
    <w:rPr>
      <w:rFonts w:ascii="Arial" w:hAnsi="Arial" w:eastAsia="黑体" w:cs="Times New Roman"/>
      <w:b/>
      <w:kern w:val="44"/>
      <w:sz w:val="30"/>
    </w:rPr>
  </w:style>
  <w:style w:type="paragraph" w:styleId="3">
    <w:name w:val="heading 2"/>
    <w:basedOn w:val="2"/>
    <w:next w:val="1"/>
    <w:link w:val="12"/>
    <w:unhideWhenUsed/>
    <w:qFormat/>
    <w:uiPriority w:val="0"/>
    <w:pPr>
      <w:tabs>
        <w:tab w:val="left" w:pos="420"/>
        <w:tab w:val="clear" w:pos="425"/>
      </w:tabs>
      <w:spacing w:before="50" w:after="50" w:line="240" w:lineRule="auto"/>
      <w:outlineLvl w:val="1"/>
    </w:pPr>
    <w:rPr>
      <w:bCs/>
      <w:sz w:val="28"/>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qFormat/>
    <w:uiPriority w:val="39"/>
  </w:style>
  <w:style w:type="paragraph" w:styleId="8">
    <w:name w:val="toc 2"/>
    <w:basedOn w:val="1"/>
    <w:next w:val="1"/>
    <w:autoRedefine/>
    <w:qFormat/>
    <w:uiPriority w:val="39"/>
    <w:pPr>
      <w:ind w:left="420" w:leftChars="200"/>
    </w:p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标题 2 Char"/>
    <w:basedOn w:val="10"/>
    <w:link w:val="3"/>
    <w:qFormat/>
    <w:uiPriority w:val="0"/>
    <w:rPr>
      <w:rFonts w:ascii="Arial" w:hAnsi="Arial" w:eastAsia="黑体"/>
      <w:b/>
      <w:bCs/>
      <w:kern w:val="44"/>
      <w:sz w:val="28"/>
      <w:szCs w:val="32"/>
    </w:rPr>
  </w:style>
  <w:style w:type="character" w:customStyle="1" w:styleId="13">
    <w:name w:val="标题 1 Char"/>
    <w:basedOn w:val="10"/>
    <w:link w:val="2"/>
    <w:qFormat/>
    <w:uiPriority w:val="0"/>
    <w:rPr>
      <w:rFonts w:ascii="Arial" w:hAnsi="Arial" w:eastAsia="黑体"/>
      <w:b/>
      <w:kern w:val="44"/>
      <w:sz w:val="30"/>
      <w:szCs w:val="24"/>
    </w:rPr>
  </w:style>
  <w:style w:type="character" w:customStyle="1" w:styleId="14">
    <w:name w:val="页眉 Char"/>
    <w:basedOn w:val="10"/>
    <w:link w:val="6"/>
    <w:qFormat/>
    <w:uiPriority w:val="0"/>
    <w:rPr>
      <w:rFonts w:asciiTheme="minorHAnsi" w:hAnsiTheme="minorHAnsi" w:eastAsiaTheme="minorEastAsia" w:cstheme="minorBidi"/>
      <w:kern w:val="2"/>
      <w:sz w:val="18"/>
      <w:szCs w:val="18"/>
    </w:rPr>
  </w:style>
  <w:style w:type="character" w:customStyle="1" w:styleId="15">
    <w:name w:val="页脚 Char"/>
    <w:basedOn w:val="10"/>
    <w:link w:val="5"/>
    <w:qFormat/>
    <w:uiPriority w:val="99"/>
    <w:rPr>
      <w:rFonts w:asciiTheme="minorHAnsi" w:hAnsiTheme="minorHAnsi" w:eastAsiaTheme="minorEastAsia" w:cstheme="minorBidi"/>
      <w:kern w:val="2"/>
      <w:sz w:val="18"/>
      <w:szCs w:val="18"/>
    </w:rPr>
  </w:style>
  <w:style w:type="paragraph" w:customStyle="1" w:styleId="16">
    <w:name w:val="TOC Heading"/>
    <w:basedOn w:val="2"/>
    <w:next w:val="1"/>
    <w:unhideWhenUsed/>
    <w:qFormat/>
    <w:uiPriority w:val="39"/>
    <w:pPr>
      <w:widowControl/>
      <w:numPr>
        <w:ilvl w:val="0"/>
        <w:numId w:val="0"/>
      </w:numPr>
      <w:tabs>
        <w:tab w:val="clear" w:pos="425"/>
      </w:tabs>
      <w:spacing w:before="240" w:beforeLines="0" w:after="0" w:afterLines="0" w:line="259" w:lineRule="auto"/>
      <w:jc w:val="left"/>
      <w:outlineLvl w:val="9"/>
    </w:pPr>
    <w:rPr>
      <w:rFonts w:asciiTheme="majorHAnsi" w:hAnsiTheme="majorHAnsi" w:eastAsiaTheme="majorEastAsia" w:cstheme="majorBidi"/>
      <w:b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jpeg"/><Relationship Id="rId23" Type="http://schemas.openxmlformats.org/officeDocument/2006/relationships/image" Target="media/image18.png"/><Relationship Id="rId22" Type="http://schemas.openxmlformats.org/officeDocument/2006/relationships/image" Target="media/image17.jpe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952</Words>
  <Characters>1023</Characters>
  <Lines>11</Lines>
  <Paragraphs>3</Paragraphs>
  <TotalTime>28</TotalTime>
  <ScaleCrop>false</ScaleCrop>
  <LinksUpToDate>false</LinksUpToDate>
  <CharactersWithSpaces>1050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2022-12-01T12:26:00Z</dcterms:created>
  <dc:creator>dhaaaa</dc:creator>
  <cp:lastModifiedBy>Rhea ju</cp:lastModifiedBy>
  <dcterms:modified xsi:type="dcterms:W3CDTF">2026-03-17T01:50:11Z</dcterms:modified>
  <cp:revision>172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09C3363FB35542EEA5C5C1E8242A7AD1_13</vt:lpwstr>
  </property>
  <property fmtid="{D5CDD505-2E9C-101B-9397-08002B2CF9AE}" pid="4" name="KSOTemplateDocerSaveRecord">
    <vt:lpwstr>eyJoZGlkIjoiMjE1MGNlNDliNjNmMDk5MzAzZTIxMTAyMDYwNTIwZDMiLCJ1c2VySWQiOiIyMjY1NDU1NjEifQ==</vt:lpwstr>
  </property>
</Properties>
</file>